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right"/>
        <w:tabs>
          <w:tab w:val="clear" w:pos="708" w:leader="none"/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rFonts w:ascii="Times New Roman" w:hAnsi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Приложение № 1 к Договору подряда №___/АТ-26  от  ______________</w:t>
      </w:r>
      <w:r>
        <w:rPr>
          <w:rFonts w:ascii="Times New Roman" w:hAnsi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none"/>
        </w:rPr>
      </w:r>
    </w:p>
    <w:p>
      <w:pPr>
        <w:pStyle w:val="832"/>
        <w:jc w:val="right"/>
        <w:tabs>
          <w:tab w:val="clear" w:pos="708" w:leader="none"/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32"/>
        <w:ind w:left="360" w:firstLine="0"/>
        <w:jc w:val="center"/>
        <w:tabs>
          <w:tab w:val="clear" w:pos="708" w:leader="none"/>
          <w:tab w:val="left" w:pos="828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Техническое задание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-108" w:right="-108" w:firstLine="0"/>
        <w:jc w:val="center"/>
        <w:spacing w:before="60" w:after="60" w:line="240" w:lineRule="auto"/>
        <w:rPr>
          <w:b/>
          <w:bCs/>
          <w:i w:val="0"/>
          <w:highlight w:val="none"/>
        </w:rPr>
      </w:pPr>
      <w:r>
        <w:rPr>
          <w:rFonts w:ascii="Times New Roman" w:hAnsi="Times New Roman" w:eastAsia="Calibri" w:cs="Times New Roman"/>
          <w:b/>
          <w:bCs/>
          <w:i w:val="0"/>
          <w:iCs w:val="0"/>
          <w:color w:val="000000" w:themeColor="text1"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ОКПД2 42.12.20.150 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Выполнение работ по ремонту ж/д путей и замене шпального бруса путей №4 и №15 Артемовской ТЭЦ</w:t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, г. Артём</w:t>
      </w:r>
      <w:r>
        <w:rPr>
          <w:rFonts w:ascii="Times New Roman" w:hAnsi="Times New Roman" w:eastAsia="Calibri" w:cs="Times New Roman"/>
          <w:b/>
          <w:bCs/>
          <w:i w:val="0"/>
          <w:iCs w:val="0"/>
          <w:color w:val="000000" w:themeColor="text1"/>
          <w:sz w:val="24"/>
          <w:szCs w:val="24"/>
          <w:lang w:eastAsia="ru-RU"/>
        </w:rPr>
        <w:t xml:space="preserve">»</w:t>
      </w:r>
      <w:r>
        <w:rPr>
          <w:b/>
          <w:bCs/>
          <w:i w:val="0"/>
          <w:highlight w:val="none"/>
        </w:rPr>
      </w:r>
      <w:r>
        <w:rPr>
          <w:b/>
          <w:bCs/>
          <w:i w:val="0"/>
          <w:highlight w:val="none"/>
        </w:rPr>
      </w:r>
    </w:p>
    <w:p>
      <w:pPr>
        <w:pStyle w:val="832"/>
        <w:jc w:val="center"/>
        <w:rPr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i w:val="0"/>
          <w:strike w:val="0"/>
          <w:color w:val="000000"/>
          <w:sz w:val="24"/>
          <w:szCs w:val="24"/>
          <w:u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14"/>
        <w:numPr>
          <w:ilvl w:val="0"/>
          <w:numId w:val="12"/>
        </w:numPr>
        <w:ind w:left="720" w:firstLine="0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ребования к выполнению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4"/>
        <w:ind w:left="720" w:firstLine="0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Общие требования к выполнению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4"/>
        <w:numPr>
          <w:ilvl w:val="2"/>
          <w:numId w:val="13"/>
        </w:numPr>
        <w:ind w:left="0" w:right="0" w:firstLine="720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highlight w:val="white"/>
        </w:rPr>
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1"/>
        <w:numPr>
          <w:ilvl w:val="0"/>
          <w:numId w:val="17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Правила организации технического обслуживания и ремонта объектов электроэнергетики (приказ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МинЭнерго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 России от 25.10.2017 №1013);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17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Методические указания по организации технического обслуживания и ремонта основного и вспомогательного оборудования, зданий и сооружений тепловых эле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ктростанций (приказ АО «ДГК» от 12.10.2022 №587);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17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Правила технической эксплуатации электрических станций и сетей Российской Федерации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у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тв. приказом Минэнерго РФ от 04.10.2022 №1070);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СТО 17330282.27.100.006-2008 Ремонт и техобслуживание оборудования, зданий и соор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ужений электрических станций и сетей. Условия выполнения работ подрядными организациями. Нормы и требования;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19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СТО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РусГидро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 02.01.62-2021 «Электрические станции и сети. Ремонт и техническое обслуживание оборудования, зданий и с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ооружений. Организация производственных процессов. Нормы и требования» (приказ АО «ДГК» от 18.01.2022 №19)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;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СП 48.13330.2019. Свод правил. Организация строительства. СНиП 12-01-2004 (утв. и введен в действие Приказом Минстроя России от 24.12.2019 N 861/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пр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) (ред. от 28.03.2022)</w:t>
      </w:r>
      <w:r>
        <w:rPr>
          <w:rFonts w:ascii="Times New Roman" w:hAnsi="Times New Roman" w:cs="Times New Roman"/>
          <w:bCs/>
          <w:i w:val="0"/>
          <w:iCs w:val="0"/>
          <w:color w:val="auto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white"/>
        </w:rPr>
        <w:t xml:space="preserve">СП 68.13330.2017 «Приемка в эксплуатацию законченных строительством объектов» ред. от 10.12.2019;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Технические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условия на работы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по ремонту и планово-предупредительной выправке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пути, утверждённые МПС 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РФ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 № ЦПТ-53 от 30.09.2003, в редакции распоряжения ОАО "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РЖД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" № 2538р от 25.11.2011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Памятка по контролю качества ремонтов пути и приемки отремонтированных участков пути. Утверждена ЦП ОАО  «РЖД» 30.09.2004 № 003ц-04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Распоряжение «Об этапах капитального ремонта пути и искусственных сооружений путевого хозяйства ОАО  «РЖД». Утверждено ОАО  «РЖД» 31.10.2007 № 2072р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Распоряжение «Реестр отдельных видов работ, выполняемых при реконструкции и ремонтах объектов железнодорожного пути» Утверждено ОАО  «РЖД» 30.01.2009 №182р;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Распоряжение «О мерах по дальнейшему повышению качества ремонтно-путевых работ». Утверждено ОАО  «РЖД» 18.05.2009 №1019р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Технические указания по устройству и эксплуатации железнодорожного пути в кривых радиусом 850 м и менее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, утверждённые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 ОАО  «РЖД» 01.02.2011 ЦПТ 11/140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Технические условия на работы по реконструкции (модернизации) и ремонту железнодорожного пути, утверждённые распоряжением АО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</w:rPr>
        <w:t xml:space="preserve">РЖД" № 75р от 18.01.2013, редакция от 17.07.2017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pStyle w:val="881"/>
        <w:numPr>
          <w:ilvl w:val="0"/>
          <w:numId w:val="18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Технические условия на щебёночно-гравийно-песчаные смеси для защитных слоёв подбалластного основания железных дорог,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highlight w:val="none"/>
        </w:rPr>
        <w:t xml:space="preserve">утверждённые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распоряжением ОАО  «РЖД» от 20.12.2012 №2640р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color w:val="000000" w:themeColor="text1"/>
          <w:sz w:val="24"/>
          <w:szCs w:val="24"/>
        </w:rPr>
      </w:r>
    </w:p>
    <w:p>
      <w:pPr>
        <w:pStyle w:val="881"/>
        <w:numPr>
          <w:ilvl w:val="0"/>
          <w:numId w:val="14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i w:val="0"/>
          <w:iCs w:val="0"/>
          <w:color w:val="auto"/>
          <w:sz w:val="24"/>
          <w:szCs w:val="24"/>
          <w:highlight w:val="white"/>
        </w:rPr>
        <w:t xml:space="preserve">Регламент</w:t>
      </w:r>
      <w:r>
        <w:rPr>
          <w:rFonts w:ascii="Times New Roman" w:hAnsi="Times New Roman" w:cs="Times New Roman"/>
          <w:bCs/>
          <w:i w:val="0"/>
          <w:iCs w:val="0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Cs/>
          <w:i w:val="0"/>
          <w:iCs w:val="0"/>
          <w:color w:val="auto"/>
          <w:sz w:val="24"/>
          <w:szCs w:val="24"/>
          <w:highlight w:val="white"/>
        </w:rPr>
        <w:t xml:space="preserve">взаимоотно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white"/>
        </w:rPr>
        <w:t xml:space="preserve">шен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white"/>
        </w:rPr>
        <w:t xml:space="preserve">ий между «Заказчиком» и «Подрядчиком» при возникновении финансовой ответственности Подрядных организаций за качество и сроки проведения ремонта, наладки, модернизации и реконструкции оборудования, передаточных устройств и ЗиС структурных подразделений АО «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white"/>
        </w:rPr>
        <w:t xml:space="preserve">ДГК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white"/>
        </w:rPr>
        <w:t xml:space="preserve">»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15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Положение «Об организации контроля и приемке выполненных работ на ремонтируемых объектах, объектах модернизации, реконструкции и техн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ического перевооружения. Определение эффективности воздействия на оборудование АО «ДГК»» №21-003-2019 (приказ АО «ДГК» от 29.11.2019 №555)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16"/>
        </w:numPr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Технические условия, технологические карты и проекты производства работ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Cs w:val="0"/>
          <w:i w:val="0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color w:val="auto"/>
          <w:sz w:val="24"/>
          <w:szCs w:val="24"/>
          <w:highlight w:val="none"/>
        </w:rPr>
      </w:r>
    </w:p>
    <w:p>
      <w:pPr>
        <w:pStyle w:val="881"/>
        <w:ind w:left="0" w:right="0" w:firstLine="709"/>
        <w:jc w:val="both"/>
        <w:spacing w:line="240" w:lineRule="auto"/>
        <w:tabs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В случае, если какой-либо из указанных нормативных документов был отменен в связи с выпуском новой редакции стандарта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, то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необходимо применять нормативный документ, приня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т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ый в его развитие.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81"/>
        <w:ind w:left="0" w:right="0" w:firstLine="709"/>
        <w:jc w:val="both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914"/>
        <w:ind w:left="0" w:right="0" w:firstLine="709"/>
        <w:jc w:val="both"/>
        <w:spacing w:line="240" w:lineRule="auto"/>
        <w:tabs>
          <w:tab w:val="clear" w:pos="708" w:leader="none"/>
          <w:tab w:val="left" w:pos="1134" w:leader="none"/>
        </w:tabs>
      </w:pPr>
      <w:r>
        <w:t xml:space="preserve">1.2. Т</w:t>
      </w:r>
      <w:r>
        <w:rPr>
          <w:highlight w:val="white"/>
        </w:rPr>
        <w:t xml:space="preserve">ребования к организации работ</w:t>
      </w:r>
      <w:r/>
    </w:p>
    <w:p>
      <w:pPr>
        <w:pStyle w:val="914"/>
        <w:ind w:left="720" w:right="0" w:firstLine="0"/>
        <w:jc w:val="both"/>
        <w:spacing w:line="240" w:lineRule="auto"/>
        <w:tabs>
          <w:tab w:val="clear" w:pos="708" w:leader="none"/>
          <w:tab w:val="left" w:pos="1134" w:leader="none"/>
        </w:tabs>
      </w:pPr>
      <w:r>
        <w:t xml:space="preserve">1.2.1. </w:t>
      </w:r>
      <w:r>
        <w:rPr>
          <w:highlight w:val="white"/>
        </w:rPr>
        <w:t xml:space="preserve">Требования к организации процесса выполнения работ:</w:t>
      </w:r>
      <w:r/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white"/>
        </w:rPr>
        <w:t xml:space="preserve">Комплекс организационно–технических мероприятий, выполняемый при подготовке к ремонт</w:t>
      </w:r>
      <w:r>
        <w:rPr>
          <w:rFonts w:ascii="Times New Roman" w:hAnsi="Times New Roman" w:eastAsia="Calibri" w:cs="Times New Roman"/>
          <w:bCs w:val="0"/>
          <w:i w:val="0"/>
          <w:iCs w:val="0"/>
          <w:sz w:val="24"/>
          <w:szCs w:val="24"/>
          <w:highlight w:val="white"/>
        </w:rPr>
        <w:t xml:space="preserve">Комплекс организационно–технических мероприятий, выполняемый при подготовке к ремонтным работам, должен обеспечивать планомерное и качественное выполнение ремонта в установленные сроки.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Calibri" w:cs="Times New Roman"/>
          <w:bCs w:val="0"/>
          <w:i w:val="0"/>
          <w:iCs w:val="0"/>
          <w:sz w:val="24"/>
          <w:szCs w:val="24"/>
          <w:highlight w:val="white"/>
        </w:rPr>
        <w:t xml:space="preserve">До начала выполнения работ Подрядчик: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numPr>
          <w:ilvl w:val="0"/>
          <w:numId w:val="10"/>
        </w:numPr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</w:pPr>
      <w:r>
        <w:rPr>
          <w:rFonts w:ascii="Times New Roman" w:hAnsi="Times New Roman" w:eastAsia="Calibri" w:cs="Times New Roman"/>
          <w:bCs w:val="0"/>
          <w:i w:val="0"/>
          <w:iCs w:val="0"/>
          <w:sz w:val="24"/>
          <w:szCs w:val="24"/>
          <w:highlight w:val="white"/>
        </w:rPr>
        <w:t xml:space="preserve">предоставляет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</w:r>
      <w:r/>
    </w:p>
    <w:p>
      <w:pPr>
        <w:pStyle w:val="832"/>
        <w:numPr>
          <w:ilvl w:val="0"/>
          <w:numId w:val="10"/>
        </w:numPr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</w:pPr>
      <w:r>
        <w:rPr>
          <w:rFonts w:ascii="Times New Roman" w:hAnsi="Times New Roman" w:eastAsia="Calibri" w:cs="Times New Roman"/>
          <w:bCs w:val="0"/>
          <w:i w:val="0"/>
          <w:iCs w:val="0"/>
          <w:sz w:val="24"/>
          <w:szCs w:val="24"/>
          <w:highlight w:val="white"/>
        </w:rPr>
        <w:t xml:space="preserve">предоставляет контакты и должность представителя Подрячика, ответственного за соблюдение норм и правил в области охраны труда, электробезопасности, пожарной и промышленной безопасности.</w:t>
      </w:r>
      <w:r/>
    </w:p>
    <w:p>
      <w:pPr>
        <w:pStyle w:val="832"/>
        <w:numPr>
          <w:ilvl w:val="0"/>
          <w:numId w:val="10"/>
        </w:numPr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Calibri" w:cs="Times New Roman"/>
          <w:bCs w:val="0"/>
          <w:i w:val="0"/>
          <w:iCs w:val="0"/>
          <w:sz w:val="24"/>
          <w:szCs w:val="24"/>
          <w:highlight w:val="white"/>
        </w:rPr>
        <w:t xml:space="preserve">проверяет оказание требований допуска ремонтного и командированного персонала.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Calibri" w:cs="Times New Roman"/>
          <w:bCs w:val="0"/>
          <w:i w:val="0"/>
          <w:iCs w:val="0"/>
          <w:sz w:val="24"/>
          <w:szCs w:val="24"/>
          <w:highlight w:val="white"/>
        </w:rPr>
        <w:t xml:space="preserve">Руководители работ Подрядчика, участвующие при выполнении работ совместно с представителями Заказчика, осуществляют входной контроль качес</w:t>
      </w:r>
      <w:r>
        <w:rPr>
          <w:rFonts w:ascii="Times New Roman" w:hAnsi="Times New Roman" w:eastAsia="Calibri" w:cs="Times New Roman"/>
          <w:bCs w:val="0"/>
          <w:i w:val="0"/>
          <w:iCs w:val="0"/>
          <w:sz w:val="24"/>
          <w:szCs w:val="24"/>
          <w:highlight w:val="white"/>
        </w:rPr>
        <w:t xml:space="preserve">тва применяемых материалов, проводят оперативный контроль качества выполняемых ремонтных работ, проверяют соблюдение технологической дисциплины (оказание требований технологической документации, качества применяемой оснастки, приспособлений и инструмента).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170" w:beforeAutospacing="0" w:after="0" w:afterAutospacing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1.2.2. </w:t>
      </w: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</w:rPr>
        <w:t xml:space="preserve">Организационно-технические мероприятия по допуску персонала подрядчика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Calibri" w:cs="Times New Roman"/>
          <w:bCs/>
          <w:i w:val="0"/>
          <w:iCs w:val="0"/>
          <w:sz w:val="24"/>
          <w:szCs w:val="24"/>
          <w:highlight w:val="white"/>
        </w:rPr>
        <w:t xml:space="preserve">Допуск персонала подрядчика для выполнения работ должен осуществляться в соответствии с: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  <w:tab/>
        <w:t xml:space="preserve">Положением о допуске персонала подрядных организаций к выполнению работ на объектах АО «ДГК» №22.1-504-2025 (утверждено приказом АО «ДГК» №534 от 25.09.2025);</w:t>
      </w:r>
      <w:r/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  <w:tab/>
        <w:t xml:space="preserve">Инструкцией о пропускном и внутриобъектовом режимах на СП Артемовская ТЭЦ; с обязательным оформлением необходимых нарядов-допусков;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r>
    </w:p>
    <w:p>
      <w:pPr>
        <w:pStyle w:val="832"/>
        <w:ind w:left="0" w:right="0" w:firstLine="709"/>
        <w:jc w:val="both"/>
        <w:spacing w:before="159" w:beforeAutospacing="0" w:after="0" w:afterAutospacing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Calibri" w:cs="Times New Roman"/>
          <w:b w:val="0"/>
          <w:bCs w:val="0"/>
          <w:i w:val="0"/>
          <w:iCs w:val="0"/>
          <w:sz w:val="24"/>
          <w:szCs w:val="24"/>
        </w:rPr>
        <w:t xml:space="preserve">1.3.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Требования к используемым МТР, контролю качества работ и МТР.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1.3.1. Требования к используемым материально-техническим ресурсам.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r>
    </w:p>
    <w:p>
      <w:pPr>
        <w:pStyle w:val="832"/>
        <w:ind w:left="0" w:right="0" w:firstLine="709"/>
        <w:jc w:val="both"/>
        <w:spacing w:before="0" w:after="0" w:afterAutospacing="0" w:line="240" w:lineRule="auto"/>
        <w:rPr>
          <w:rFonts w:ascii="Times New Roman" w:hAnsi="Times New Roman" w:cs="Times New Roman"/>
          <w:bCs/>
          <w:i/>
          <w:iCs/>
          <w:sz w:val="22"/>
          <w:szCs w:val="22"/>
          <w14:ligatures w14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Материалы, необходимые для выполнения работ приобретаются Подрядчиком, согласно Приложению №1.2 к Техническому заданию. </w:t>
      </w:r>
      <w:r>
        <w:rPr>
          <w:rFonts w:ascii="Times New Roman" w:hAnsi="Times New Roman" w:cs="Times New Roman"/>
          <w:bCs/>
          <w:i/>
          <w:iCs/>
          <w:sz w:val="22"/>
          <w:szCs w:val="22"/>
          <w14:ligatures w14:val="none"/>
        </w:rPr>
      </w:r>
      <w:r>
        <w:rPr>
          <w:rFonts w:ascii="Times New Roman" w:hAnsi="Times New Roman" w:cs="Times New Roman"/>
          <w:bCs/>
          <w:i/>
          <w:iCs/>
          <w:sz w:val="22"/>
          <w:szCs w:val="22"/>
          <w14:ligatures w14:val="none"/>
        </w:rPr>
      </w:r>
    </w:p>
    <w:p>
      <w:pPr>
        <w:pStyle w:val="832"/>
        <w:ind w:left="0" w:right="0" w:firstLine="709"/>
        <w:jc w:val="both"/>
        <w:spacing w:before="0" w:after="0" w:afterAutospacing="0" w:line="240" w:lineRule="auto"/>
        <w:rPr>
          <w:rFonts w:ascii="Times New Roman" w:hAnsi="Times New Roman" w:cs="Times New Roman"/>
          <w:bCs/>
          <w:i/>
          <w14:ligatures w14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Материалы, приобретаемые Подрядчиком, согласно Приложению №1.2 к Техническому заданию, должны быть новыми и ранее не использованными, без повреждений.</w:t>
      </w:r>
      <w:r>
        <w:rPr>
          <w:rFonts w:ascii="Times New Roman" w:hAnsi="Times New Roman" w:cs="Times New Roman"/>
          <w:bCs/>
          <w:i/>
          <w14:ligatures w14:val="none"/>
        </w:rPr>
      </w:r>
      <w:r>
        <w:rPr>
          <w:rFonts w:ascii="Times New Roman" w:hAnsi="Times New Roman" w:cs="Times New Roman"/>
          <w:bCs/>
          <w:i/>
          <w14:ligatures w14:val="none"/>
        </w:rPr>
      </w:r>
    </w:p>
    <w:p>
      <w:pPr>
        <w:pStyle w:val="832"/>
        <w:ind w:left="0" w:right="0" w:firstLine="709"/>
        <w:jc w:val="both"/>
        <w:spacing w:before="170" w:beforeAutospacing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1.3.2. Контроль качества используемых материалов.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ind w:left="0" w:right="0" w:firstLine="709"/>
        <w:jc w:val="both"/>
        <w:spacing w:before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Руководители работ Подрядчика совместно с представителями Заказчика, осуществляют входной контроль качества применяемых материалов и запасных частей. </w:t>
      </w:r>
      <w:r>
        <w:rPr>
          <w:rFonts w:ascii="Times New Roman" w:hAnsi="Times New Roman" w:cs="Times New Roman"/>
          <w:bCs w:val="0"/>
          <w:i w:val="0"/>
          <w:sz w:val="24"/>
          <w:szCs w:val="24"/>
          <w14:ligatures w14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14:ligatures w14:val="none"/>
        </w:rPr>
      </w:r>
    </w:p>
    <w:p>
      <w:pPr>
        <w:pStyle w:val="832"/>
        <w:ind w:left="0" w:right="0" w:firstLine="709"/>
        <w:jc w:val="both"/>
        <w:spacing w:before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Материалы Подрядчика должны иметь сертификаты, паспорта и другие документы, подтверждающие их качество. </w:t>
      </w:r>
      <w:r>
        <w:rPr>
          <w:rFonts w:ascii="Times New Roman" w:hAnsi="Times New Roman" w:cs="Times New Roman"/>
          <w:bCs w:val="0"/>
          <w:i w:val="0"/>
          <w:sz w:val="24"/>
          <w:szCs w:val="24"/>
          <w14:ligatures w14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14:ligatures w14:val="none"/>
        </w:rPr>
      </w:r>
    </w:p>
    <w:p>
      <w:pPr>
        <w:pStyle w:val="832"/>
        <w:ind w:left="0" w:right="0" w:firstLine="709"/>
        <w:jc w:val="both"/>
        <w:spacing w:before="0" w:after="0" w:afterAutospacing="0" w:line="240" w:lineRule="auto"/>
        <w:rPr>
          <w:rFonts w:ascii="Times New Roman" w:hAnsi="Times New Roman" w:cs="Times New Roman"/>
          <w:i w:val="0"/>
          <w:iCs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При осуществлении Подрядчиком входного контроля качества материально-технических ресурсов, поступивших на место производства работ, обязательно нали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 </w:t>
      </w:r>
      <w:r>
        <w:rPr>
          <w:rFonts w:ascii="Times New Roman" w:hAnsi="Times New Roman" w:cs="Times New Roman"/>
          <w:i w:val="0"/>
          <w:iCs w:val="0"/>
          <w:sz w:val="24"/>
          <w:szCs w:val="24"/>
          <w14:ligatures w14:val="none"/>
        </w:rPr>
      </w:r>
      <w:r>
        <w:rPr>
          <w:rFonts w:ascii="Times New Roman" w:hAnsi="Times New Roman" w:cs="Times New Roman"/>
          <w:i w:val="0"/>
          <w:iCs w:val="0"/>
          <w:sz w:val="24"/>
          <w:szCs w:val="24"/>
          <w14:ligatures w14:val="none"/>
        </w:rPr>
      </w:r>
    </w:p>
    <w:p>
      <w:pPr>
        <w:pStyle w:val="832"/>
        <w:ind w:left="0" w:right="0" w:firstLine="709"/>
        <w:jc w:val="both"/>
        <w:spacing w:before="170" w:beforeAutospacing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1.3.3. Контроль качества работ.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ind w:left="0" w:right="0" w:firstLine="709"/>
        <w:jc w:val="both"/>
        <w:spacing w:before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В соответствии с законом № 184-ФЗ «О техническом регулировании» Подрядчик принимает на себя добровольное обязательство о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Руководители работ Подрядчика, участвую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щие в производстве Работ,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ind w:left="0" w:right="0" w:firstLine="709"/>
        <w:jc w:val="both"/>
        <w:spacing w:before="159" w:beforeAutospacing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1.4. Требования к персоналу Подрядчика.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1.4.1. Квалификация персонала Подрядчика, привлекаемого к выполнению работ.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</w:rPr>
        <w:t xml:space="preserve">Подрядчик должен :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6"/>
        </w:numPr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о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6"/>
        </w:numPr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располагать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бригадой, и</w:t>
      </w: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достаточным количеством аттестованного персонала, организованного по принципу комплексных специализированных бригад</w:t>
      </w: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</w:rPr>
        <w:t xml:space="preserve"> (оформленных в соответствии с Гражданским Кодексом Российской Федерации или привлекаемых по трудовым либо гражданско-правовым договорам, либо планируемых к привлечению, в том числе по договорам субподряда)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white"/>
        </w:rPr>
        <w:t xml:space="preserve">До начала проведения работ в рамках исполнения договора после его заключения подрядчик предоставляет: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numPr>
          <w:ilvl w:val="0"/>
          <w:numId w:val="5"/>
        </w:numPr>
        <w:contextualSpacing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список персонала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(грузоподъемных, работ с электро - и пневмоинструментом) (возможно совмещение специальностей);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Во время проведения работ команда ИТР Подрядчика должна поддерживать на должном уровне систему управ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r>
    </w:p>
    <w:p>
      <w:pPr>
        <w:pStyle w:val="832"/>
        <w:ind w:left="0" w:right="0" w:firstLine="709"/>
        <w:jc w:val="both"/>
        <w:spacing w:before="159" w:beforeAutospacing="0" w:after="0" w:afterAutospacing="0" w:line="240" w:lineRule="auto"/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1.5. Требования к безопасности работ и охране труда.</w:t>
      </w:r>
      <w:r/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1.5.1. </w:t>
      </w: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</w:rPr>
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</w:r>
      <w:r/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№123;</w:t>
      </w:r>
      <w:r/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промышленной безопасности при использовании оборудования, работающего под избыточным давлением, утвержденные приказом Федеральной службы по экологическому, технологическому и атомному надзору от 15.12.2020 г. № 536;</w:t>
      </w:r>
      <w:r/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безопасности опасных производственных объектов, на которых используются подъемные сооружения, утвержденные приказом Федеральной службы по экологическому и атомному надзору от 26.11.2020 г. № 461;</w:t>
      </w:r>
      <w:r/>
    </w:p>
    <w:p>
      <w:pPr>
        <w:pStyle w:val="881"/>
        <w:numPr>
          <w:ilvl w:val="0"/>
          <w:numId w:val="3"/>
        </w:numPr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СО 34.03.201-97 (РД 34.03.201-97) Правила техники безопасности при эксплуатации тепломеханического оборудования электростанций и тепловых сетей.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17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1.5.2. </w:t>
      </w:r>
      <w:r>
        <w:rPr>
          <w:rFonts w:ascii="Times New Roman" w:hAnsi="Times New Roman" w:eastAsia="Calibri" w:cs="Times New Roman"/>
          <w:i w:val="0"/>
          <w:iCs w:val="0"/>
          <w:sz w:val="24"/>
          <w:szCs w:val="24"/>
          <w:highlight w:val="white"/>
        </w:rPr>
        <w:t xml:space="preserve">Соблюдение требований пожарной безопасности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</w:rPr>
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противопожарного режима в Российской Федерации, утверждены Постановлением Правительства РФ от 16.09.2020 № 1479;</w:t>
      </w:r>
      <w:r/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Технический регламент о требованиях пожарной безопасности. №123-ФЗ от 22.07.2008;</w:t>
      </w:r>
      <w:r/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ГОСТ 12.1.004-91* Система стандартов безопасности труда. Пожарная безопасность. Общие требования.</w:t>
      </w:r>
      <w:r/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</w:r>
      <w:r/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</w:r>
      <w:r/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Персональную ответственность за обеспечение пожарной безопасности несёт руководитель Подрядчика или лицо, его замещающее.</w:t>
      </w:r>
      <w:r/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Ремонтная площадка должна быть оснащена средствами пожаротушения. 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ind w:left="0" w:right="0" w:firstLine="709"/>
        <w:jc w:val="both"/>
        <w:spacing w:before="17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1.5.3. </w:t>
      </w:r>
      <w:r>
        <w:rPr>
          <w:rFonts w:ascii="Times New Roman" w:hAnsi="Times New Roman" w:eastAsia="Calibri" w:cs="Times New Roman"/>
          <w:i w:val="0"/>
          <w:iCs w:val="0"/>
          <w:sz w:val="24"/>
          <w:szCs w:val="24"/>
          <w:highlight w:val="white"/>
        </w:rPr>
        <w:t xml:space="preserve">Соблюдение требований к охране окружающей среды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  <w:t xml:space="preserve"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</w:r>
      <w:r/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  <w:t xml:space="preserve">Отходы, строительный мусор должны своевременно вывозиться для дальнейшей утилизации.</w:t>
      </w:r>
      <w:r/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  <w:t xml:space="preserve">Мероприятия и работы по охране окружающей среды вести в соответствии: </w:t>
      </w:r>
      <w:r/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  <w:t xml:space="preserve">–</w:t>
      </w: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  <w:tab/>
        <w:t xml:space="preserve">Федеральный закон от 10.01.2002 № 7-ФЗ «Об охране окружающей среды» (ред. от 08.08.2024);</w:t>
      </w:r>
      <w:r/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  <w:t xml:space="preserve">–</w:t>
      </w: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  <w:tab/>
        <w:t xml:space="preserve">Федеральный закон от 04.05.1999 № 96-ФЗ «Об охране атмосферного воздуха» (ред. от 08.08.2024);</w:t>
      </w:r>
      <w:r/>
    </w:p>
    <w:p>
      <w:pPr>
        <w:pStyle w:val="881"/>
        <w:numPr>
          <w:ilvl w:val="0"/>
          <w:numId w:val="4"/>
        </w:numPr>
        <w:contextualSpacing/>
        <w:ind w:left="0" w:right="0" w:firstLine="709"/>
        <w:jc w:val="both"/>
        <w:spacing w:before="0" w:beforeAutospacing="0" w:after="0" w:afterAutospacing="0" w:line="240" w:lineRule="auto"/>
        <w:widowControl w:val="off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  <w:t xml:space="preserve">Водный кодекс Российской Федерации от 03.06.2006 № 74-ФЗ (ред. от 08.08.2024).</w:t>
      </w: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  <w14:ligatures w14:val="none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ind w:left="0" w:right="0" w:firstLine="709"/>
        <w:jc w:val="both"/>
        <w:spacing w:before="17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1.5.4. </w:t>
      </w:r>
      <w:r>
        <w:rPr>
          <w:rFonts w:ascii="Times New Roman" w:hAnsi="Times New Roman" w:eastAsia="Calibri" w:cs="Times New Roman"/>
          <w:i w:val="0"/>
          <w:iCs w:val="0"/>
          <w:sz w:val="24"/>
          <w:szCs w:val="24"/>
          <w:highlight w:val="white"/>
        </w:rPr>
        <w:t xml:space="preserve">Соблюдение требований охраны труда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</w:rPr>
        <w:t xml:space="preserve">Контроль по соблюдению требований охраны труда осуществляется Подрядчиком и Заказчиком. 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white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</w:rPr>
        <w:t xml:space="preserve">Заказчик обязуется назначить куратора и обеспечить допуск персонала подрядчика к месту проведения ремонтных работ,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о</w:t>
      </w: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</w:rPr>
        <w:t xml:space="preserve">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Cs/>
          <w:i/>
          <w:sz w:val="22"/>
          <w:szCs w:val="22"/>
          <w:lang w:eastAsia="en-US"/>
          <w14:ligatures w14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Подрядчик обязуется до начала выполнения работ разработать и предоставить на согласование ППР, указать методы и технологию выполнения работ, организационные вопросы, мероприятия по технике безопасности и охране труда.</w:t>
      </w:r>
      <w:r>
        <w:rPr>
          <w:rFonts w:ascii="Times New Roman" w:hAnsi="Times New Roman" w:cs="Times New Roman"/>
          <w:bCs/>
          <w:i/>
          <w:sz w:val="22"/>
          <w:szCs w:val="22"/>
          <w:lang w:eastAsia="en-US"/>
          <w14:ligatures w14:val="none"/>
        </w:rPr>
      </w:r>
      <w:r>
        <w:rPr>
          <w:rFonts w:ascii="Times New Roman" w:hAnsi="Times New Roman" w:cs="Times New Roman"/>
          <w:bCs/>
          <w:i/>
          <w:sz w:val="22"/>
          <w:szCs w:val="22"/>
          <w:lang w:eastAsia="en-US"/>
          <w14:ligatures w14:val="none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Применяемые при работах механизмы и грузоподъемны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е машины (в соответствии с разрабатываемым Подрядчиком ППР), приспособления и инструмент должны быть испытаны и эксплуатироваться в соответствии с требованиями стандартов безопасности труда, правил Ростехнадзора, а также инструкций заводов – изготовителей.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32"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highlight w:val="white"/>
        </w:rPr>
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ремонтных работ. Для производства работ в охранной зоне необходимо получить наряд-допуск.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contextualSpacing/>
        <w:ind w:left="62" w:right="0" w:firstLine="647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</w:r>
      <w:r/>
    </w:p>
    <w:p>
      <w:pPr>
        <w:pStyle w:val="832"/>
        <w:contextualSpacing/>
        <w:ind w:left="62" w:right="0" w:firstLine="647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по охране труда при строительстве, реконструкции и ремонте (утверждены приказом Министерства труда от 11.12.2020 № 883н);</w:t>
      </w:r>
      <w:r/>
    </w:p>
    <w:p>
      <w:pPr>
        <w:pStyle w:val="832"/>
        <w:contextualSpacing/>
        <w:ind w:left="62" w:right="0" w:firstLine="647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по охране труда при работе на высоте (утверждены приказом Министерства труда от 16.11.2020 №782н)</w:t>
      </w:r>
      <w:r/>
    </w:p>
    <w:p>
      <w:pPr>
        <w:pStyle w:val="832"/>
        <w:contextualSpacing/>
        <w:ind w:left="62" w:right="0" w:firstLine="647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по охране труда при производстве дорожных строительных и ремонтно-строительных работ (Приказ Министерства труда от 11.12.2020г. № 882Н).</w:t>
      </w:r>
      <w:r/>
    </w:p>
    <w:p>
      <w:pPr>
        <w:pStyle w:val="832"/>
        <w:contextualSpacing/>
        <w:ind w:left="62" w:right="0" w:firstLine="647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по охране труда при работе с инструментом и приспособлениями (утверждены приказом Министерства труда от 27.11.2020 № 835н);</w:t>
      </w:r>
      <w:r/>
    </w:p>
    <w:p>
      <w:pPr>
        <w:pStyle w:val="832"/>
        <w:contextualSpacing/>
        <w:ind w:left="62" w:right="0" w:firstLine="647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</w:r>
      <w:r/>
    </w:p>
    <w:p>
      <w:pPr>
        <w:pStyle w:val="832"/>
        <w:contextualSpacing/>
        <w:ind w:left="62" w:right="0" w:firstLine="647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по охране труда при обработке металлов (утв. приказом Министерства труда и социальной защиты Российской Федерации от 11.12.2020 №887н);</w:t>
      </w:r>
      <w:r/>
    </w:p>
    <w:p>
      <w:pPr>
        <w:pStyle w:val="832"/>
        <w:contextualSpacing/>
        <w:ind w:left="62" w:right="0" w:firstLine="647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 №753н);</w:t>
      </w:r>
      <w:r/>
    </w:p>
    <w:p>
      <w:pPr>
        <w:pStyle w:val="832"/>
        <w:contextualSpacing/>
        <w:ind w:left="62" w:right="0" w:firstLine="647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по охране труда при эксплуатации электроустановок, утвержденные Приказом Министерства труда и социальной защиты РФ от 15.12.2020 №903н;</w:t>
      </w:r>
      <w:r/>
    </w:p>
    <w:p>
      <w:pPr>
        <w:pStyle w:val="832"/>
        <w:numPr>
          <w:ilvl w:val="0"/>
          <w:numId w:val="7"/>
        </w:numPr>
        <w:contextualSpacing/>
        <w:ind w:left="62" w:right="0" w:firstLine="647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  <w:tab/>
        <w:t xml:space="preserve"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 №461).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 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81"/>
        <w:contextualSpacing/>
        <w:ind w:left="0" w:right="0" w:firstLine="709"/>
        <w:jc w:val="both"/>
        <w:spacing w:before="0" w:beforeAutospacing="0" w:after="0" w:afterAutospacing="0" w:line="240" w:lineRule="auto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ind w:left="0" w:right="0" w:firstLine="709"/>
        <w:jc w:val="both"/>
        <w:spacing w:before="159" w:beforeAutospacing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2. Требования к результатам работ.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2.1. Общие требования к результатам работ.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  <w:highlight w:val="white"/>
        </w:rPr>
        <w:t xml:space="preserve">Обеспечение надёжной эксплуатации железнодорожных путей, своевременное выполнение подачи и выгрузки угля с полувагоновов для обеспечения эксплуатации  Артемовской ТЭЦ и поддержания нормативного запаса  твердого топлива на угольном поле. 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Cs w:val="0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iCs w:val="0"/>
          <w:sz w:val="24"/>
          <w:szCs w:val="24"/>
          <w:highlight w:val="none"/>
        </w:rPr>
      </w:r>
    </w:p>
    <w:p>
      <w:pPr>
        <w:pStyle w:val="832"/>
        <w:contextualSpacing/>
        <w:ind w:left="0" w:right="0" w:firstLine="709"/>
        <w:jc w:val="both"/>
        <w:spacing w:before="0" w:beforeAutospacing="0"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 xml:space="preserve">2.2. Требования к оформлению документации.</w:t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r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Подрядчик одновременно с передачей актов приемки выполненных работ по форме КС-2 обязан оформить и передать Заказчику исполнительную и сдаточную документацию в следующем составе, но не ограничиваясь:          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счета-фактуры на материалы, закупаемые Подрядчиком по текущим ценам для использования в процессе ремонта; 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исполнительные чертежи или схемы;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фото/видео материалы (при необходимости);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табель учета рабочего времени Подрядчика;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общий журнал работ;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специальные журналы работ (соответствующие видам выполняемых работ);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акт освидетельствования скрытых работ;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акт предремонтного обследования объекта;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ведомость (опись) объёма ремонтно-строительных работ;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акт готовности здания, сооружения к производству работ;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акт приёмки из ремонта здания, сооружения;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другие документы по усмотрению Сторон с учетом специфики Работ.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Исполнительная документация должна быть оформлена в соответствии с:</w:t>
      </w:r>
      <w:r/>
    </w:p>
    <w:p>
      <w:pPr>
        <w:pStyle w:val="881"/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– </w:t>
      </w: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Приказом Министерства строительства и ЖКХ №344 от 16.05.2023 «Состав и порядок ведения исполнительной документации при строительстве, реконструкции, капитальном ремонте объектов капитального строительства»;</w:t>
      </w:r>
      <w:r/>
    </w:p>
    <w:p>
      <w:pPr>
        <w:pStyle w:val="881"/>
        <w:numPr>
          <w:ilvl w:val="0"/>
          <w:numId w:val="8"/>
        </w:numPr>
        <w:contextualSpacing/>
        <w:ind w:left="0" w:right="0" w:firstLine="709"/>
        <w:jc w:val="both"/>
        <w:spacing w:before="0" w:after="0" w:afterAutospacing="0" w:line="242" w:lineRule="auto"/>
        <w:shd w:val="clear" w:color="auto" w:fill="ffffff"/>
        <w:tabs>
          <w:tab w:val="left" w:pos="317" w:leader="none"/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:highlight w:val="none"/>
          <w14:ligatures w14:val="none"/>
        </w:rPr>
      </w:pPr>
      <w:r>
        <w:rPr>
          <w:rFonts w:ascii="Times New Roman" w:hAnsi="Times New Roman" w:cs="Times New Roman"/>
          <w:sz w:val="22"/>
          <w:szCs w:val="22"/>
          <w14:ligatures w14:val="none"/>
        </w:rPr>
        <w:t xml:space="preserve"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АО «ДГК» </w:t>
      </w:r>
      <w:r>
        <w:rPr>
          <w:rFonts w:ascii="Times New Roman" w:hAnsi="Times New Roman" w:cs="Times New Roman"/>
          <w:sz w:val="22"/>
          <w:szCs w:val="22"/>
          <w:highlight w:val="none"/>
          <w14:ligatures w14:val="none"/>
        </w:rPr>
      </w:r>
      <w:r>
        <w:rPr>
          <w:rFonts w:ascii="Times New Roman" w:hAnsi="Times New Roman" w:cs="Times New Roman"/>
          <w:sz w:val="22"/>
          <w:szCs w:val="22"/>
          <w:highlight w:val="none"/>
          <w14:ligatures w14:val="none"/>
        </w:rPr>
      </w:r>
    </w:p>
    <w:p>
      <w:pPr>
        <w:pStyle w:val="832"/>
        <w:ind w:right="0" w:firstLine="0"/>
        <w:jc w:val="both"/>
        <w:spacing w:before="0" w:after="0" w:afterAutospacing="0" w:line="240" w:lineRule="auto"/>
        <w:shd w:val="clear" w:color="auto" w:fill="ffffff"/>
        <w:tabs>
          <w:tab w:val="clear" w:pos="708" w:leader="none"/>
          <w:tab w:val="left" w:pos="992" w:leader="none"/>
          <w:tab w:val="left" w:pos="1560" w:leader="none"/>
        </w:tabs>
      </w:pPr>
      <w:r/>
      <w:r/>
    </w:p>
    <w:p>
      <w:pPr>
        <w:pStyle w:val="832"/>
        <w:ind w:left="0" w:right="0" w:firstLine="709"/>
        <w:jc w:val="left"/>
        <w:spacing w:before="0" w:after="0" w:line="264" w:lineRule="auto"/>
        <w:rPr>
          <w:b w:val="0"/>
          <w:bCs w:val="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3. Список приложений: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left="709" w:right="0" w:firstLine="0"/>
        <w:jc w:val="left"/>
        <w:spacing w:before="0" w:after="0" w:line="264" w:lineRule="auto"/>
        <w:shd w:val="clear" w:color="auto" w:fill="ffffff"/>
        <w:tabs>
          <w:tab w:val="clear" w:pos="708" w:leader="none"/>
          <w:tab w:val="left" w:pos="3148" w:leader="none"/>
          <w:tab w:val="center" w:pos="4818" w:leader="none"/>
          <w:tab w:val="left" w:pos="692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/>
          <w:bCs/>
          <w:sz w:val="24"/>
          <w:szCs w:val="24"/>
        </w:rPr>
        <w:t xml:space="preserve">1. Приложение №1.1.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Ведомость объемов работ;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2"/>
        <w:ind w:left="709" w:right="0" w:firstLine="0"/>
        <w:jc w:val="left"/>
        <w:spacing w:before="0" w:after="0" w:line="264" w:lineRule="auto"/>
        <w:shd w:val="clear" w:color="auto" w:fill="ffffff"/>
        <w:tabs>
          <w:tab w:val="clear" w:pos="708" w:leader="none"/>
          <w:tab w:val="left" w:pos="3148" w:leader="none"/>
          <w:tab w:val="center" w:pos="4818" w:leader="none"/>
          <w:tab w:val="left" w:pos="692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Приложение №1.2. – Ведомость материалов Подрядчика.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2"/>
        <w:ind w:left="709" w:right="0" w:firstLine="0"/>
        <w:jc w:val="both"/>
        <w:spacing w:before="0"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2"/>
        <w:jc w:val="both"/>
        <w:spacing w:before="0" w:after="0" w:line="242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9024" w:type="dxa"/>
        <w:tblInd w:w="71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30"/>
        <w:gridCol w:w="4393"/>
      </w:tblGrid>
      <w:tr>
        <w:tblPrEx/>
        <w:trPr/>
        <w:tc>
          <w:tcPr>
            <w:tcW w:w="4630" w:type="dxa"/>
            <w:textDirection w:val="lrTb"/>
            <w:noWrap w:val="false"/>
          </w:tcPr>
          <w:p>
            <w:pPr>
              <w:pStyle w:val="832"/>
              <w:ind w:left="0" w:right="0" w:firstLine="0"/>
              <w:jc w:val="both"/>
              <w:spacing w:before="0" w:after="0" w:line="242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4393" w:type="dxa"/>
            <w:textDirection w:val="lrTb"/>
            <w:noWrap w:val="false"/>
          </w:tcPr>
          <w:p>
            <w:pPr>
              <w:pStyle w:val="832"/>
              <w:ind w:left="0" w:right="0" w:firstLine="0"/>
              <w:jc w:val="both"/>
              <w:spacing w:before="0" w:after="0" w:line="242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4630" w:type="dxa"/>
            <w:textDirection w:val="lrTb"/>
            <w:noWrap w:val="false"/>
          </w:tcPr>
          <w:p>
            <w:pPr>
              <w:pStyle w:val="832"/>
              <w:ind w:left="0" w:right="0" w:firstLine="0"/>
              <w:jc w:val="both"/>
              <w:spacing w:before="0" w:after="0" w:line="242" w:lineRule="auto"/>
              <w:widowControl w:val="off"/>
              <w:rPr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  <w:lang w:eastAsia="ru-RU"/>
              </w:rPr>
              <w:t xml:space="preserve">АО «ДГК»</w:t>
            </w:r>
            <w:r>
              <w:rPr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  <w:sz w:val="24"/>
                <w:szCs w:val="24"/>
              </w:rPr>
            </w:r>
          </w:p>
          <w:p>
            <w:pPr>
              <w:pStyle w:val="832"/>
              <w:jc w:val="both"/>
              <w:spacing w:before="0" w:after="0" w:line="242" w:lineRule="auto"/>
              <w:widowControl w:val="off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  <w:sz w:val="24"/>
                <w:szCs w:val="24"/>
              </w:rPr>
            </w:r>
          </w:p>
          <w:p>
            <w:pPr>
              <w:pStyle w:val="832"/>
              <w:ind w:left="0" w:right="0" w:firstLine="0"/>
              <w:jc w:val="both"/>
              <w:spacing w:before="0" w:after="0" w:line="242" w:lineRule="auto"/>
              <w:widowControl w:val="off"/>
              <w:rPr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  <w:lang w:eastAsia="ru-RU"/>
              </w:rPr>
              <w:t xml:space="preserve">_______________ / Е.Н. Авдеев /</w:t>
            </w:r>
            <w:r>
              <w:rPr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  <w:sz w:val="24"/>
                <w:szCs w:val="24"/>
              </w:rPr>
            </w:r>
          </w:p>
          <w:p>
            <w:pPr>
              <w:pStyle w:val="832"/>
              <w:jc w:val="both"/>
              <w:spacing w:before="0" w:after="0" w:line="242" w:lineRule="auto"/>
              <w:widowControl w:val="off"/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</w:rPr>
            </w:r>
          </w:p>
        </w:tc>
        <w:tc>
          <w:tcPr>
            <w:tcW w:w="4393" w:type="dxa"/>
            <w:textDirection w:val="lrTb"/>
            <w:noWrap w:val="false"/>
          </w:tcPr>
          <w:p>
            <w:pPr>
              <w:pStyle w:val="832"/>
              <w:ind w:firstLine="0"/>
              <w:jc w:val="both"/>
              <w:spacing w:before="0" w:after="0" w:line="242" w:lineRule="auto"/>
              <w:widowControl w:val="off"/>
              <w:rPr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  <w:lang w:eastAsia="ru-RU"/>
              </w:rPr>
              <w:t xml:space="preserve">Генеральный директор АО «ХРМК»</w:t>
            </w:r>
            <w:r>
              <w:rPr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  <w:sz w:val="24"/>
                <w:szCs w:val="24"/>
              </w:rPr>
            </w:r>
          </w:p>
          <w:p>
            <w:pPr>
              <w:pStyle w:val="832"/>
              <w:jc w:val="both"/>
              <w:spacing w:before="0" w:after="0" w:line="242" w:lineRule="auto"/>
              <w:widowControl w:val="off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  <w:sz w:val="24"/>
                <w:szCs w:val="24"/>
              </w:rPr>
            </w:r>
          </w:p>
          <w:p>
            <w:pPr>
              <w:pStyle w:val="832"/>
              <w:jc w:val="both"/>
              <w:spacing w:before="0" w:after="0" w:line="242" w:lineRule="auto"/>
              <w:widowControl w:val="off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  <w:sz w:val="24"/>
                <w:szCs w:val="24"/>
              </w:rPr>
            </w:r>
          </w:p>
          <w:p>
            <w:pPr>
              <w:pStyle w:val="832"/>
              <w:ind w:left="0" w:right="0" w:firstLine="0"/>
              <w:jc w:val="both"/>
              <w:spacing w:before="0" w:after="0" w:line="242" w:lineRule="auto"/>
              <w:widowControl w:val="off"/>
              <w:rPr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  <w:lang w:eastAsia="ru-RU"/>
              </w:rPr>
              <w:t xml:space="preserve">_______________ / А.В. Катенев /</w:t>
            </w:r>
            <w:r>
              <w:rPr>
                <w:color w:val="ffffff" w:themeColor="background1"/>
                <w:sz w:val="24"/>
                <w:szCs w:val="24"/>
              </w:rPr>
            </w:r>
            <w:r>
              <w:rPr>
                <w:color w:val="ffffff" w:themeColor="background1"/>
                <w:sz w:val="24"/>
                <w:szCs w:val="24"/>
              </w:rPr>
            </w:r>
          </w:p>
          <w:p>
            <w:pPr>
              <w:pStyle w:val="832"/>
              <w:jc w:val="both"/>
              <w:spacing w:before="0" w:after="0" w:line="242" w:lineRule="auto"/>
              <w:widowControl w:val="off"/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ffffff" w:themeColor="background1"/>
                <w:sz w:val="24"/>
                <w:szCs w:val="24"/>
              </w:rPr>
            </w:r>
          </w:p>
        </w:tc>
      </w:tr>
    </w:tbl>
    <w:p>
      <w:pPr>
        <w:pStyle w:val="832"/>
        <w:jc w:val="both"/>
        <w:spacing w:before="0" w:after="0" w:line="242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850" w:right="850" w:bottom="1531" w:left="1417" w:header="0" w:footer="709" w:gutter="0"/>
      <w:pgNumType w:start="26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Courier New">
    <w:panose1 w:val="02070309020205020404"/>
  </w:font>
  <w:font w:name="OpenSymbol">
    <w:panose1 w:val="05010000000000000000"/>
  </w:font>
  <w:font w:name="Noto Sans CJK SC">
    <w:panose1 w:val="020B050204050402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9"/>
      <w:jc w:val="right"/>
    </w:pPr>
    <w:r/>
    <w:r/>
  </w:p>
  <w:p>
    <w:pPr>
      <w:pStyle w:val="8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910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 w:cs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 w:cs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 w:cs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 w:cs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 w:cs="Symbol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◦"/>
      <w:lvlJc w:val="left"/>
      <w:pPr>
        <w:ind w:left="1080" w:hanging="360"/>
        <w:tabs>
          <w:tab w:val="num" w:pos="1080" w:leader="none"/>
        </w:tabs>
      </w:pPr>
      <w:rPr>
        <w:rFonts w:hint="default"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360"/>
        <w:tabs>
          <w:tab w:val="num" w:pos="1440" w:leader="none"/>
        </w:tabs>
      </w:pPr>
      <w:rPr>
        <w:rFonts w:hint="default"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◦"/>
      <w:lvlJc w:val="left"/>
      <w:pPr>
        <w:ind w:left="2160" w:hanging="360"/>
        <w:tabs>
          <w:tab w:val="num" w:pos="2160" w:leader="none"/>
        </w:tabs>
      </w:pPr>
      <w:rPr>
        <w:rFonts w:hint="default"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520" w:hanging="360"/>
        <w:tabs>
          <w:tab w:val="num" w:pos="2520" w:leader="none"/>
        </w:tabs>
      </w:pPr>
      <w:rPr>
        <w:rFonts w:hint="default"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◦"/>
      <w:lvlJc w:val="left"/>
      <w:pPr>
        <w:ind w:left="3240" w:hanging="360"/>
        <w:tabs>
          <w:tab w:val="num" w:pos="3240" w:leader="none"/>
        </w:tabs>
      </w:pPr>
      <w:rPr>
        <w:rFonts w:hint="default"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600" w:hanging="360"/>
        <w:tabs>
          <w:tab w:val="num" w:pos="3600" w:leader="none"/>
        </w:tabs>
      </w:pPr>
      <w:rPr>
        <w:rFonts w:hint="default" w:ascii="OpenSymbol" w:hAnsi="OpenSymbol" w:cs="OpenSymbol"/>
      </w:rPr>
    </w:lvl>
  </w:abstractNum>
  <w:abstractNum w:abstractNumId="1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2" w:default="1">
    <w:name w:val="Normal"/>
    <w:qFormat/>
    <w:pPr>
      <w:jc w:val="left"/>
      <w:spacing w:before="0" w:after="160" w:line="259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833">
    <w:name w:val="Heading 1"/>
    <w:basedOn w:val="83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34">
    <w:name w:val="Heading 2"/>
    <w:basedOn w:val="8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35">
    <w:name w:val="Heading 3"/>
    <w:basedOn w:val="83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36">
    <w:name w:val="Heading 4"/>
    <w:basedOn w:val="83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7">
    <w:name w:val="Heading 5"/>
    <w:basedOn w:val="8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8">
    <w:name w:val="Heading 6"/>
    <w:basedOn w:val="8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39">
    <w:name w:val="Heading 7"/>
    <w:basedOn w:val="83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40">
    <w:name w:val="Heading 8"/>
    <w:basedOn w:val="8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41">
    <w:name w:val="Heading 9"/>
    <w:basedOn w:val="8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2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843">
    <w:name w:val="Heading 2 Char"/>
    <w:uiPriority w:val="9"/>
    <w:qFormat/>
    <w:rPr>
      <w:rFonts w:ascii="Arial" w:hAnsi="Arial" w:eastAsia="Arial" w:cs="Arial"/>
      <w:sz w:val="34"/>
    </w:rPr>
  </w:style>
  <w:style w:type="character" w:styleId="844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845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46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47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48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49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50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51">
    <w:name w:val="Title Char"/>
    <w:uiPriority w:val="10"/>
    <w:qFormat/>
    <w:rPr>
      <w:sz w:val="48"/>
      <w:szCs w:val="48"/>
    </w:rPr>
  </w:style>
  <w:style w:type="character" w:styleId="852">
    <w:name w:val="Subtitle Char"/>
    <w:uiPriority w:val="11"/>
    <w:qFormat/>
    <w:rPr>
      <w:sz w:val="24"/>
      <w:szCs w:val="24"/>
    </w:rPr>
  </w:style>
  <w:style w:type="character" w:styleId="853">
    <w:name w:val="Quote Char"/>
    <w:uiPriority w:val="29"/>
    <w:qFormat/>
    <w:rPr>
      <w:i/>
    </w:rPr>
  </w:style>
  <w:style w:type="character" w:styleId="854">
    <w:name w:val="Intense Quote Char"/>
    <w:uiPriority w:val="30"/>
    <w:qFormat/>
    <w:rPr>
      <w:i/>
    </w:rPr>
  </w:style>
  <w:style w:type="character" w:styleId="855">
    <w:name w:val="Header Char"/>
    <w:uiPriority w:val="99"/>
    <w:qFormat/>
  </w:style>
  <w:style w:type="character" w:styleId="856">
    <w:name w:val="Footer Char"/>
    <w:uiPriority w:val="99"/>
    <w:qFormat/>
  </w:style>
  <w:style w:type="character" w:styleId="857">
    <w:name w:val="Caption Char"/>
    <w:uiPriority w:val="99"/>
    <w:qFormat/>
  </w:style>
  <w:style w:type="character" w:styleId="858">
    <w:name w:val="Hyperlink"/>
    <w:uiPriority w:val="99"/>
    <w:unhideWhenUsed/>
    <w:rPr>
      <w:color w:val="0000ff" w:themeColor="hyperlink"/>
      <w:u w:val="single"/>
    </w:rPr>
  </w:style>
  <w:style w:type="character" w:styleId="859">
    <w:name w:val="Footnote Text Char"/>
    <w:uiPriority w:val="99"/>
    <w:qFormat/>
    <w:rPr>
      <w:sz w:val="18"/>
    </w:rPr>
  </w:style>
  <w:style w:type="character" w:styleId="860">
    <w:name w:val="Символ сноски"/>
    <w:uiPriority w:val="99"/>
    <w:unhideWhenUsed/>
    <w:qFormat/>
    <w:rPr>
      <w:vertAlign w:val="superscript"/>
    </w:rPr>
  </w:style>
  <w:style w:type="character" w:styleId="861">
    <w:name w:val="footnote reference"/>
    <w:rPr>
      <w:vertAlign w:val="superscript"/>
    </w:rPr>
  </w:style>
  <w:style w:type="character" w:styleId="862">
    <w:name w:val="Endnote Text Char"/>
    <w:uiPriority w:val="99"/>
    <w:qFormat/>
    <w:rPr>
      <w:sz w:val="20"/>
    </w:rPr>
  </w:style>
  <w:style w:type="character" w:styleId="863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64">
    <w:name w:val="endnote reference"/>
    <w:rPr>
      <w:vertAlign w:val="superscript"/>
    </w:rPr>
  </w:style>
  <w:style w:type="character" w:styleId="865">
    <w:name w:val="Основной шрифт абзаца"/>
    <w:uiPriority w:val="1"/>
    <w:semiHidden/>
    <w:unhideWhenUsed/>
    <w:qFormat/>
  </w:style>
  <w:style w:type="character" w:styleId="866">
    <w:name w:val="Верхний колонтитул Знак"/>
    <w:basedOn w:val="865"/>
    <w:uiPriority w:val="99"/>
    <w:qFormat/>
  </w:style>
  <w:style w:type="character" w:styleId="867">
    <w:name w:val="Нижний колонтитул Знак"/>
    <w:basedOn w:val="865"/>
    <w:uiPriority w:val="99"/>
    <w:qFormat/>
  </w:style>
  <w:style w:type="character" w:styleId="868">
    <w:name w:val="Знак примечания"/>
    <w:uiPriority w:val="99"/>
    <w:semiHidden/>
    <w:unhideWhenUsed/>
    <w:qFormat/>
    <w:rPr>
      <w:sz w:val="16"/>
      <w:szCs w:val="16"/>
    </w:rPr>
  </w:style>
  <w:style w:type="character" w:styleId="869">
    <w:name w:val="Текст примечания Знак"/>
    <w:uiPriority w:val="99"/>
    <w:semiHidden/>
    <w:qFormat/>
    <w:rPr>
      <w:sz w:val="20"/>
      <w:szCs w:val="20"/>
    </w:rPr>
  </w:style>
  <w:style w:type="character" w:styleId="870">
    <w:name w:val="Тема примечания Знак"/>
    <w:uiPriority w:val="99"/>
    <w:semiHidden/>
    <w:qFormat/>
    <w:rPr>
      <w:b/>
      <w:bCs/>
      <w:sz w:val="20"/>
      <w:szCs w:val="20"/>
    </w:rPr>
  </w:style>
  <w:style w:type="character" w:styleId="871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872">
    <w:name w:val="Основной текст Знак"/>
    <w:semiHidden/>
    <w:qFormat/>
    <w:rPr>
      <w:rFonts w:ascii="Times New Roman" w:hAnsi="Times New Roman" w:eastAsia="Times New Roman"/>
    </w:rPr>
  </w:style>
  <w:style w:type="character" w:styleId="873" w:default="1">
    <w:name w:val="Default Paragraph Font"/>
    <w:uiPriority w:val="1"/>
    <w:semiHidden/>
    <w:unhideWhenUsed/>
    <w:qFormat/>
  </w:style>
  <w:style w:type="character" w:styleId="874" w:customStyle="1">
    <w:name w:val="annotation reference"/>
    <w:uiPriority w:val="99"/>
    <w:semiHidden/>
    <w:qFormat/>
    <w:rPr>
      <w:sz w:val="16"/>
      <w:szCs w:val="16"/>
    </w:rPr>
  </w:style>
  <w:style w:type="character" w:styleId="875">
    <w:name w:val="Маркеры"/>
    <w:qFormat/>
    <w:rPr>
      <w:rFonts w:ascii="OpenSymbol" w:hAnsi="OpenSymbol" w:eastAsia="OpenSymbol" w:cs="OpenSymbol"/>
    </w:rPr>
  </w:style>
  <w:style w:type="paragraph" w:styleId="876">
    <w:name w:val="Заголовок"/>
    <w:basedOn w:val="832"/>
    <w:next w:val="877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77">
    <w:name w:val="Body Text"/>
    <w:basedOn w:val="832"/>
    <w:semiHidden/>
    <w:unhideWhenUsed/>
    <w:pPr>
      <w:spacing w:before="0" w:after="12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878">
    <w:name w:val="List"/>
    <w:basedOn w:val="877"/>
    <w:rPr>
      <w:rFonts w:cs="Arial Unicode MS"/>
    </w:rPr>
  </w:style>
  <w:style w:type="paragraph" w:styleId="879">
    <w:name w:val="Caption"/>
    <w:basedOn w:val="832"/>
    <w:link w:val="8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80">
    <w:name w:val="Указатель"/>
    <w:basedOn w:val="832"/>
    <w:qFormat/>
    <w:pPr>
      <w:suppressLineNumbers/>
    </w:pPr>
    <w:rPr>
      <w:rFonts w:cs="Arial Unicode MS"/>
    </w:rPr>
  </w:style>
  <w:style w:type="paragraph" w:styleId="881">
    <w:name w:val="List Paragraph"/>
    <w:basedOn w:val="832"/>
    <w:uiPriority w:val="34"/>
    <w:qFormat/>
    <w:pPr>
      <w:contextualSpacing/>
      <w:ind w:left="720" w:firstLine="0"/>
      <w:spacing w:before="0" w:after="0"/>
    </w:pPr>
  </w:style>
  <w:style w:type="paragraph" w:styleId="882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Calibri" w:cs="Times New Roman"/>
      <w:color w:val="auto"/>
      <w:sz w:val="20"/>
      <w:szCs w:val="20"/>
      <w:lang w:val="ru-RU" w:eastAsia="zh-CN" w:bidi="ar-SA"/>
    </w:rPr>
  </w:style>
  <w:style w:type="paragraph" w:styleId="883">
    <w:name w:val="Title"/>
    <w:basedOn w:val="832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84">
    <w:name w:val="Subtitle"/>
    <w:basedOn w:val="832"/>
    <w:uiPriority w:val="11"/>
    <w:qFormat/>
    <w:pPr>
      <w:spacing w:before="200" w:after="200"/>
    </w:pPr>
    <w:rPr>
      <w:sz w:val="24"/>
      <w:szCs w:val="24"/>
    </w:rPr>
  </w:style>
  <w:style w:type="paragraph" w:styleId="885">
    <w:name w:val="Quote"/>
    <w:basedOn w:val="832"/>
    <w:uiPriority w:val="29"/>
    <w:qFormat/>
    <w:pPr>
      <w:ind w:left="720" w:right="720" w:firstLine="0"/>
    </w:pPr>
    <w:rPr>
      <w:i/>
    </w:rPr>
  </w:style>
  <w:style w:type="paragraph" w:styleId="886">
    <w:name w:val="Intense Quote"/>
    <w:basedOn w:val="832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87">
    <w:name w:val="Колонтитул"/>
    <w:basedOn w:val="832"/>
    <w:qFormat/>
  </w:style>
  <w:style w:type="paragraph" w:styleId="888">
    <w:name w:val="Header"/>
    <w:basedOn w:val="832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89">
    <w:name w:val="Footer"/>
    <w:basedOn w:val="832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90">
    <w:name w:val="footnote text"/>
    <w:basedOn w:val="832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91">
    <w:name w:val="endnote text"/>
    <w:basedOn w:val="832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92">
    <w:name w:val="toc 1"/>
    <w:basedOn w:val="832"/>
    <w:uiPriority w:val="39"/>
    <w:unhideWhenUsed/>
    <w:pPr>
      <w:ind w:left="0" w:right="0" w:firstLine="0"/>
      <w:spacing w:before="0" w:after="57"/>
    </w:pPr>
  </w:style>
  <w:style w:type="paragraph" w:styleId="893">
    <w:name w:val="toc 2"/>
    <w:basedOn w:val="832"/>
    <w:uiPriority w:val="39"/>
    <w:unhideWhenUsed/>
    <w:pPr>
      <w:ind w:left="283" w:right="0" w:firstLine="0"/>
      <w:spacing w:before="0" w:after="57"/>
    </w:pPr>
  </w:style>
  <w:style w:type="paragraph" w:styleId="894">
    <w:name w:val="toc 3"/>
    <w:basedOn w:val="832"/>
    <w:uiPriority w:val="39"/>
    <w:unhideWhenUsed/>
    <w:pPr>
      <w:ind w:left="567" w:right="0" w:firstLine="0"/>
      <w:spacing w:before="0" w:after="57"/>
    </w:pPr>
  </w:style>
  <w:style w:type="paragraph" w:styleId="895">
    <w:name w:val="toc 4"/>
    <w:basedOn w:val="832"/>
    <w:uiPriority w:val="39"/>
    <w:unhideWhenUsed/>
    <w:pPr>
      <w:ind w:left="850" w:right="0" w:firstLine="0"/>
      <w:spacing w:before="0" w:after="57"/>
    </w:pPr>
  </w:style>
  <w:style w:type="paragraph" w:styleId="896">
    <w:name w:val="toc 5"/>
    <w:basedOn w:val="832"/>
    <w:uiPriority w:val="39"/>
    <w:unhideWhenUsed/>
    <w:pPr>
      <w:ind w:left="1134" w:right="0" w:firstLine="0"/>
      <w:spacing w:before="0" w:after="57"/>
    </w:pPr>
  </w:style>
  <w:style w:type="paragraph" w:styleId="897">
    <w:name w:val="toc 6"/>
    <w:basedOn w:val="832"/>
    <w:uiPriority w:val="39"/>
    <w:unhideWhenUsed/>
    <w:pPr>
      <w:ind w:left="1417" w:right="0" w:firstLine="0"/>
      <w:spacing w:before="0" w:after="57"/>
    </w:pPr>
  </w:style>
  <w:style w:type="paragraph" w:styleId="898">
    <w:name w:val="toc 7"/>
    <w:basedOn w:val="832"/>
    <w:uiPriority w:val="39"/>
    <w:unhideWhenUsed/>
    <w:pPr>
      <w:ind w:left="1701" w:right="0" w:firstLine="0"/>
      <w:spacing w:before="0" w:after="57"/>
    </w:pPr>
  </w:style>
  <w:style w:type="paragraph" w:styleId="899">
    <w:name w:val="toc 8"/>
    <w:basedOn w:val="832"/>
    <w:uiPriority w:val="39"/>
    <w:unhideWhenUsed/>
    <w:pPr>
      <w:ind w:left="1984" w:right="0" w:firstLine="0"/>
      <w:spacing w:before="0" w:after="57"/>
    </w:pPr>
  </w:style>
  <w:style w:type="paragraph" w:styleId="900">
    <w:name w:val="toc 9"/>
    <w:basedOn w:val="832"/>
    <w:uiPriority w:val="39"/>
    <w:unhideWhenUsed/>
    <w:pPr>
      <w:ind w:left="2268" w:right="0" w:firstLine="0"/>
      <w:spacing w:before="0" w:after="57"/>
    </w:pPr>
  </w:style>
  <w:style w:type="paragraph" w:styleId="901">
    <w:name w:val="Index Heading"/>
    <w:basedOn w:val="876"/>
  </w:style>
  <w:style w:type="paragraph" w:styleId="902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Calibri" w:cs="Times New Roman"/>
      <w:color w:val="auto"/>
      <w:sz w:val="20"/>
      <w:szCs w:val="20"/>
      <w:lang w:val="ru-RU" w:eastAsia="zh-CN" w:bidi="ar-SA"/>
    </w:rPr>
  </w:style>
  <w:style w:type="paragraph" w:styleId="903">
    <w:name w:val="table of figures"/>
    <w:basedOn w:val="832"/>
    <w:uiPriority w:val="99"/>
    <w:unhideWhenUsed/>
    <w:qFormat/>
    <w:pPr>
      <w:spacing w:before="0" w:after="0" w:afterAutospacing="0"/>
    </w:pPr>
  </w:style>
  <w:style w:type="paragraph" w:styleId="904">
    <w:name w:val="Абзац списка"/>
    <w:basedOn w:val="832"/>
    <w:uiPriority w:val="34"/>
    <w:qFormat/>
    <w:pPr>
      <w:contextualSpacing/>
      <w:ind w:left="720" w:firstLine="0"/>
      <w:spacing w:before="0" w:after="160"/>
    </w:pPr>
  </w:style>
  <w:style w:type="paragraph" w:styleId="905">
    <w:name w:val="Без интервала"/>
    <w:uiPriority w:val="1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906">
    <w:name w:val="Текст примечания"/>
    <w:basedOn w:val="832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907">
    <w:name w:val="Тема примечания"/>
    <w:basedOn w:val="906"/>
    <w:uiPriority w:val="99"/>
    <w:semiHidden/>
    <w:unhideWhenUsed/>
    <w:qFormat/>
    <w:rPr>
      <w:b/>
      <w:bCs/>
    </w:rPr>
  </w:style>
  <w:style w:type="paragraph" w:styleId="908">
    <w:name w:val="Рецензия"/>
    <w:uiPriority w:val="99"/>
    <w:semiHidden/>
    <w:qFormat/>
    <w:pPr>
      <w:jc w:val="left"/>
      <w:spacing w:before="0" w:after="0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909">
    <w:name w:val="Текст выноски"/>
    <w:basedOn w:val="832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910">
    <w:name w:val="Маркированный список 4"/>
    <w:basedOn w:val="832"/>
    <w:qFormat/>
    <w:pPr>
      <w:numPr>
        <w:ilvl w:val="0"/>
        <w:numId w:val="1"/>
      </w:numPr>
      <w:spacing w:before="0"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911">
    <w:name w:val=" Знак Знак Знак2 Знак1 Знак Знак Знак Знак"/>
    <w:basedOn w:val="832"/>
    <w:qFormat/>
    <w:pPr>
      <w:spacing w:beforeAutospacing="1" w:afterAutospacing="1" w:line="240" w:lineRule="auto"/>
    </w:pPr>
    <w:rPr>
      <w:rFonts w:ascii="Tahoma" w:hAnsi="Tahoma" w:eastAsia="Times New Roman"/>
      <w:sz w:val="20"/>
      <w:szCs w:val="20"/>
      <w:lang w:val="en-US"/>
    </w:rPr>
  </w:style>
  <w:style w:type="paragraph" w:styleId="912" w:customStyle="1">
    <w:name w:val="Абзац списка,Table-Normal,RSHB_Table-Normal,Заголовок_3,Подпись рисунка,Алроса_маркер (Уровень 4),Маркер,ПАРАГРАФ,Абзац списка2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160" w:afterAutospacing="0" w:line="259" w:lineRule="auto"/>
      <w:shd w:val="nil"/>
      <w:widowControl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913" w:customStyle="1">
    <w:name w:val="Абзац списка;Table-Normal;RSHB_Table-Normal;Заголовок_3;Подпись рисунка;Алроса_маркер (Уровень 4);Маркер;ПАРАГРАФ;Абзац списка2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160" w:afterAutospacing="0" w:line="259" w:lineRule="auto"/>
      <w:shd w:val="nil"/>
      <w:widowControl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914" w:customStyle="1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numbering" w:styleId="915">
    <w:name w:val="Нет списка"/>
    <w:uiPriority w:val="99"/>
    <w:semiHidden/>
    <w:unhideWhenUsed/>
    <w:qFormat/>
  </w:style>
  <w:style w:type="numbering" w:styleId="916" w:default="1">
    <w:name w:val="No List"/>
    <w:uiPriority w:val="99"/>
    <w:semiHidden/>
    <w:unhideWhenUsed/>
    <w:qFormat/>
  </w:style>
  <w:style w:type="numbering" w:styleId="917">
    <w:name w:val="39008996901"/>
    <w:qFormat/>
  </w:style>
  <w:style w:type="numbering" w:styleId="918">
    <w:name w:val="34689940611"/>
    <w:qFormat/>
  </w:style>
  <w:style w:type="table" w:styleId="91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Виногорова Наталья Олеговна</dc:creator>
  <dc:description/>
  <dc:language>ru-RU</dc:language>
  <cp:lastModifiedBy>krischenko_pi</cp:lastModifiedBy>
  <cp:revision>96</cp:revision>
  <dcterms:created xsi:type="dcterms:W3CDTF">2022-12-05T05:08:00Z</dcterms:created>
  <dcterms:modified xsi:type="dcterms:W3CDTF">2026-06-10T23:33:45Z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